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Typhus und Paratyphus</w:t>
      </w:r>
    </w:p>
    <w:bookmarkStart w:id="20" w:name="was-ist-typhus-und-paratyphus"/>
    <w:p>
      <w:pPr>
        <w:pStyle w:val="Heading2"/>
      </w:pPr>
      <w:r>
        <w:t xml:space="preserve">Was ist Typhus und Paratyphus?</w:t>
      </w:r>
    </w:p>
    <w:p>
      <w:pPr>
        <w:pStyle w:val="FirstParagraph"/>
      </w:pPr>
      <w:r>
        <w:t xml:space="preserve">Typhus und Paratyphus sind ansteckende Krankheiten. Typhus wird durch</w:t>
      </w:r>
      <w:r>
        <w:t xml:space="preserve"> </w:t>
      </w:r>
      <w:r>
        <w:t xml:space="preserve">das Bakterium Salmonella typhi verursacht, Paratyphus durch Salmonella</w:t>
      </w:r>
      <w:r>
        <w:t xml:space="preserve"> </w:t>
      </w:r>
      <w:r>
        <w:t xml:space="preserve">paratyphi. Beide Erkrankungen sind weltweit verbreitet. In Afrika,</w:t>
      </w:r>
      <w:r>
        <w:t xml:space="preserve"> </w:t>
      </w:r>
      <w:r>
        <w:t xml:space="preserve">Südamerika und Südostasien ist die Erkrankung häufig, insbesondere in</w:t>
      </w:r>
      <w:r>
        <w:t xml:space="preserve"> </w:t>
      </w:r>
      <w:r>
        <w:t xml:space="preserve">Indien, Pakistan und Bangladesh. In Deutschland werden jährlich etwa 100</w:t>
      </w:r>
      <w:r>
        <w:t xml:space="preserve"> </w:t>
      </w:r>
      <w:r>
        <w:t xml:space="preserve">Typhus und Paratyphus Erkrankungen gemeldet. In Deutschland treten die</w:t>
      </w:r>
      <w:r>
        <w:t xml:space="preserve"> </w:t>
      </w:r>
      <w:r>
        <w:t xml:space="preserve">Erkrankungen fast immer im Zusammenhang mit einer Reise auf.</w:t>
      </w:r>
    </w:p>
    <w:bookmarkEnd w:id="20"/>
    <w:bookmarkStart w:id="21" w:name="X0a535770367d60413d3d005b4fa0b80ff0d1079"/>
    <w:p>
      <w:pPr>
        <w:pStyle w:val="Heading2"/>
      </w:pPr>
      <w:r>
        <w:t xml:space="preserve">Wie wird Typhus und Paratyphus übertragen?</w:t>
      </w:r>
    </w:p>
    <w:p>
      <w:pPr>
        <w:pStyle w:val="FirstParagraph"/>
      </w:pPr>
      <w:r>
        <w:t xml:space="preserve">Typhus und Paratyphus kann über Lebensmittel und Trinkwasser übertragen</w:t>
      </w:r>
      <w:r>
        <w:t xml:space="preserve"> </w:t>
      </w:r>
      <w:r>
        <w:t xml:space="preserve">werden. Von einer Person, die das Bakterium ausscheidet, gelangen</w:t>
      </w:r>
      <w:r>
        <w:t xml:space="preserve"> </w:t>
      </w:r>
      <w:r>
        <w:t xml:space="preserve">winzige Stuhlreste oder Urinreste auf das Lebensmittel beziehungsweise</w:t>
      </w:r>
      <w:r>
        <w:t xml:space="preserve"> </w:t>
      </w:r>
      <w:r>
        <w:t xml:space="preserve">in das Trinkwasser. Wenn das Lebensmittel oder das Trinkwasser nicht</w:t>
      </w:r>
      <w:r>
        <w:t xml:space="preserve"> </w:t>
      </w:r>
      <w:r>
        <w:t xml:space="preserve">genügend erhitzt wird, kann sich eine andere Person daran anstecken.</w:t>
      </w:r>
      <w:r>
        <w:t xml:space="preserve"> </w:t>
      </w:r>
      <w:r>
        <w:t xml:space="preserve">Selten können Typhus und Paratyphus auch direkt von Mensch zu Mensch</w:t>
      </w:r>
      <w:r>
        <w:t xml:space="preserve"> </w:t>
      </w:r>
      <w:r>
        <w:t xml:space="preserve">über eine Schmierinfektion übertragen werden.</w:t>
      </w:r>
    </w:p>
    <w:bookmarkEnd w:id="21"/>
    <w:bookmarkStart w:id="22" w:name="welche-krankheitszeichen-haben-erkrankte"/>
    <w:p>
      <w:pPr>
        <w:pStyle w:val="Heading2"/>
      </w:pPr>
      <w:r>
        <w:t xml:space="preserve">Welche Krankheitszeichen haben Erkrankte?</w:t>
      </w:r>
    </w:p>
    <w:p>
      <w:pPr>
        <w:pStyle w:val="FirstParagraph"/>
      </w:pPr>
      <w:r>
        <w:t xml:space="preserve">Typhus und Paratyphus betreffen den ganzen Körper, vor allem aber den</w:t>
      </w:r>
      <w:r>
        <w:t xml:space="preserve"> </w:t>
      </w:r>
      <w:r>
        <w:t xml:space="preserve">Magen und Darm. Bei einem typischen Verlauf kommt es zu hohem Fieber,</w:t>
      </w:r>
      <w:r>
        <w:t xml:space="preserve"> </w:t>
      </w:r>
      <w:r>
        <w:t xml:space="preserve">starkem Krankheitsgefühl, Abgeschlagenheit, Verstopfung, Übelkeit,</w:t>
      </w:r>
      <w:r>
        <w:t xml:space="preserve"> </w:t>
      </w:r>
      <w:r>
        <w:t xml:space="preserve">Erbrechen, abdominellen Schmerzen und Hauterscheinungen. Im weiteren</w:t>
      </w:r>
      <w:r>
        <w:t xml:space="preserve"> </w:t>
      </w:r>
      <w:r>
        <w:t xml:space="preserve">Verlauf kann es zu Durchfällen kommen. Häufig kommt es zu einem</w:t>
      </w:r>
      <w:r>
        <w:t xml:space="preserve"> </w:t>
      </w:r>
      <w:r>
        <w:t xml:space="preserve">verlangsamten Herzschlag. Bei schweren Verläufen können viele weitere</w:t>
      </w:r>
      <w:r>
        <w:t xml:space="preserve"> </w:t>
      </w:r>
      <w:r>
        <w:t xml:space="preserve">Organe betroffen werden, so kann es zum Beispiel zu einer</w:t>
      </w:r>
      <w:r>
        <w:t xml:space="preserve"> </w:t>
      </w:r>
      <w:r>
        <w:t xml:space="preserve">Darm-Zerstörung kommen. Wenn die Krankheit nicht behandelt wird sterben</w:t>
      </w:r>
      <w:r>
        <w:t xml:space="preserve"> </w:t>
      </w:r>
      <w:r>
        <w:t xml:space="preserve">bis zu 20% der erkrankten Personen. Wenn die Krankheit behandelt wird</w:t>
      </w:r>
      <w:r>
        <w:t xml:space="preserve"> </w:t>
      </w:r>
      <w:r>
        <w:t xml:space="preserve">sterben weniger als 1%. Die Krankheitszeichen von Typhus und Paratyphus</w:t>
      </w:r>
      <w:r>
        <w:t xml:space="preserve"> </w:t>
      </w:r>
      <w:r>
        <w:t xml:space="preserve">sind ähnlich. Paratyphus ist im Regelfall nicht so stark.</w:t>
      </w:r>
    </w:p>
    <w:bookmarkEnd w:id="22"/>
    <w:bookmarkStart w:id="23" w:name="X18ebe67c49c68f5bd791c7175bd3de965664769"/>
    <w:p>
      <w:pPr>
        <w:pStyle w:val="Heading2"/>
      </w:pPr>
      <w:r>
        <w:t xml:space="preserve">Wann bricht die Krankheit aus und wie lange ist man ansteckend?</w:t>
      </w:r>
    </w:p>
    <w:p>
      <w:pPr>
        <w:pStyle w:val="FirstParagraph"/>
      </w:pPr>
      <w:r>
        <w:t xml:space="preserve">Die Zeit von der Ansteckung bis zum Auftreten der ersten</w:t>
      </w:r>
      <w:r>
        <w:t xml:space="preserve"> </w:t>
      </w:r>
      <w:r>
        <w:t xml:space="preserve">Krankheitszeichen beträgt bei Typhus 3-60 Tage, normalerweise zwischen</w:t>
      </w:r>
      <w:r>
        <w:t xml:space="preserve"> </w:t>
      </w:r>
      <w:r>
        <w:t xml:space="preserve">8-14 Tagen. Bei Paratyphus dauert diese Zeit meist 1–10 Tage. Die</w:t>
      </w:r>
      <w:r>
        <w:t xml:space="preserve"> </w:t>
      </w:r>
      <w:r>
        <w:t xml:space="preserve">Ansteckungsfähigkeit beginnt in der ersten Krankheitswoche und endet,</w:t>
      </w:r>
      <w:r>
        <w:t xml:space="preserve"> </w:t>
      </w:r>
      <w:r>
        <w:t xml:space="preserve">wenn keine Erreger mehr mit dem Stuhl ausgeschieden werden. Ungefähr 3</w:t>
      </w:r>
      <w:r>
        <w:t xml:space="preserve"> </w:t>
      </w:r>
      <w:r>
        <w:t xml:space="preserve">von 100 Personen scheiden den Erreger über längere Zeit aus, zum Teil</w:t>
      </w:r>
      <w:r>
        <w:t xml:space="preserve"> </w:t>
      </w:r>
      <w:r>
        <w:t xml:space="preserve">lebenslang. Diese Personen heißen dann Dauerausscheider.</w:t>
      </w:r>
    </w:p>
    <w:bookmarkEnd w:id="23"/>
    <w:bookmarkStart w:id="24" w:name="wer-ist-besonders-gefährdet"/>
    <w:p>
      <w:pPr>
        <w:pStyle w:val="Heading2"/>
      </w:pPr>
      <w:r>
        <w:t xml:space="preserve">Wer ist besonders gefährdet?</w:t>
      </w:r>
    </w:p>
    <w:p>
      <w:pPr>
        <w:pStyle w:val="FirstParagraph"/>
      </w:pPr>
      <w:r>
        <w:t xml:space="preserve">Reisende in Länder mit niedrigen Hygienestandards sind besonders häufig</w:t>
      </w:r>
      <w:r>
        <w:t xml:space="preserve"> </w:t>
      </w:r>
      <w:r>
        <w:t xml:space="preserve">betroffen. Besonders schwere Verläufe sind häufiger bei Kindern unter</w:t>
      </w:r>
      <w:r>
        <w:t xml:space="preserve"> </w:t>
      </w:r>
      <w:r>
        <w:t xml:space="preserve">einem Jahr.</w:t>
      </w:r>
    </w:p>
    <w:bookmarkEnd w:id="24"/>
    <w:bookmarkStart w:id="25" w:name="X1119d8bfd0052132e4b919dc77d1ca1dd4f70cd"/>
    <w:p>
      <w:pPr>
        <w:pStyle w:val="Heading2"/>
      </w:pPr>
      <w:r>
        <w:t xml:space="preserve">Was muss ich bei einer Erkrankung beachten?</w:t>
      </w:r>
    </w:p>
    <w:p>
      <w:pPr>
        <w:pStyle w:val="BlockText"/>
        <w:numPr>
          <w:ilvl w:val="0"/>
          <w:numId w:val="1001"/>
        </w:numPr>
      </w:pPr>
      <w:r>
        <w:t xml:space="preserve">An Typhus erkrankte Personen sollten sich umgehend ärztlich</w:t>
      </w:r>
      <w:r>
        <w:t xml:space="preserve"> </w:t>
      </w:r>
      <w:r>
        <w:t xml:space="preserve">behandeln lassen.</w:t>
      </w:r>
    </w:p>
    <w:p>
      <w:pPr>
        <w:pStyle w:val="BlockText"/>
        <w:numPr>
          <w:ilvl w:val="0"/>
          <w:numId w:val="1001"/>
        </w:numPr>
      </w:pPr>
      <w:r>
        <w:t xml:space="preserve">Die Krankheit wird üblicherweise mit Antibiotika über zwei Wochen</w:t>
      </w:r>
      <w:r>
        <w:t xml:space="preserve"> </w:t>
      </w:r>
      <w:r>
        <w:t xml:space="preserve">behandelt</w:t>
      </w:r>
    </w:p>
    <w:p>
      <w:pPr>
        <w:pStyle w:val="BlockText"/>
        <w:numPr>
          <w:ilvl w:val="0"/>
          <w:numId w:val="1001"/>
        </w:numPr>
      </w:pPr>
      <w:r>
        <w:t xml:space="preserve">Erkrankte Personen sollten auf eine gute Händehygiene achten. Das</w:t>
      </w:r>
      <w:r>
        <w:t xml:space="preserve"> </w:t>
      </w:r>
      <w:r>
        <w:t xml:space="preserve">heißt: Waschen Sie sich die Hände gründlich mit Wasser und Seife</w:t>
      </w:r>
      <w:r>
        <w:t xml:space="preserve"> </w:t>
      </w:r>
      <w:r>
        <w:t xml:space="preserve">nach jedem Toilettengang. Waschen Sie sich auch die Hände vor der</w:t>
      </w:r>
      <w:r>
        <w:t xml:space="preserve"> </w:t>
      </w:r>
      <w:r>
        <w:t xml:space="preserve">Zubereitung von Lebensmitteln und vor dem Essen. Trocknen Sie die</w:t>
      </w:r>
      <w:r>
        <w:t xml:space="preserve"> </w:t>
      </w:r>
      <w:r>
        <w:t xml:space="preserve">Hände nach dem Waschen sorgfältig mit einem sauberen Tuch ab.</w:t>
      </w:r>
      <w:r>
        <w:t xml:space="preserve"> </w:t>
      </w:r>
      <w:r>
        <w:t xml:space="preserve">Alternativ können Sie ein Händedesinfektionsmittel verwenden.</w:t>
      </w:r>
    </w:p>
    <w:p>
      <w:pPr>
        <w:pStyle w:val="BlockText"/>
        <w:numPr>
          <w:ilvl w:val="0"/>
          <w:numId w:val="1001"/>
        </w:numPr>
      </w:pPr>
      <w:r>
        <w:t xml:space="preserve">Erkrankte Personen sollten keine Speisen für andere zubereiten.</w:t>
      </w:r>
    </w:p>
    <w:p>
      <w:pPr>
        <w:pStyle w:val="BlockText"/>
        <w:numPr>
          <w:ilvl w:val="0"/>
          <w:numId w:val="1001"/>
        </w:numPr>
      </w:pPr>
      <w:r>
        <w:t xml:space="preserve">Bei der Erkrankung gelten die Regelungen des</w:t>
      </w:r>
      <w:r>
        <w:t xml:space="preserve"> </w:t>
      </w:r>
      <w:r>
        <w:t xml:space="preserve">Infektionsschutzgesetzes. Erkrankte Personen dürfen</w:t>
      </w:r>
      <w:r>
        <w:t xml:space="preserve"> </w:t>
      </w:r>
      <w:r>
        <w:t xml:space="preserve">Gemeinschaftseinrichtungen wie Schulen oder Kindergärten</w:t>
      </w:r>
      <w:r>
        <w:t xml:space="preserve"> </w:t>
      </w:r>
      <w:r>
        <w:t xml:space="preserve">vorübergehend nicht besuchen. Erkrankte Personen müssen die</w:t>
      </w:r>
      <w:r>
        <w:t xml:space="preserve"> </w:t>
      </w:r>
      <w:r>
        <w:t xml:space="preserve">Gemeinschaftseinrichtung über die Erkrankung informieren. In der</w:t>
      </w:r>
      <w:r>
        <w:t xml:space="preserve"> </w:t>
      </w:r>
      <w:r>
        <w:t xml:space="preserve">Regel kann die Einrichtung wieder besucht werden wenn der Erreger</w:t>
      </w:r>
      <w:r>
        <w:t xml:space="preserve"> </w:t>
      </w:r>
      <w:r>
        <w:t xml:space="preserve">nicht mehr ausgeschieden wird. Den genauen Zeitraum des Verbots</w:t>
      </w:r>
      <w:r>
        <w:t xml:space="preserve"> </w:t>
      </w:r>
      <w:r>
        <w:t xml:space="preserve">oder Ausnahmen bestimmt das zuständige Gesundheitsamt.</w:t>
      </w:r>
    </w:p>
    <w:p>
      <w:pPr>
        <w:pStyle w:val="BlockText"/>
        <w:numPr>
          <w:ilvl w:val="0"/>
          <w:numId w:val="1001"/>
        </w:numPr>
      </w:pPr>
      <w:r>
        <w:t xml:space="preserve">Erkrankte Personen dürfen vorübergehend nicht bei der beruflichen</w:t>
      </w:r>
      <w:r>
        <w:t xml:space="preserve"> </w:t>
      </w:r>
      <w:r>
        <w:t xml:space="preserve">Erzeugung von Lebensmitteln beteiligt sein. Dies ist im</w:t>
      </w:r>
      <w:r>
        <w:t xml:space="preserve"> </w:t>
      </w:r>
      <w:r>
        <w:t xml:space="preserve">Infektionsschutzgesetz festgelegt. Die genau Dauer des Verbots</w:t>
      </w:r>
      <w:r>
        <w:t xml:space="preserve"> </w:t>
      </w:r>
      <w:r>
        <w:t xml:space="preserve">oder Ausnahmen bestimmt das zuständige Gesundheitsamt.</w:t>
      </w:r>
    </w:p>
    <w:p>
      <w:pPr>
        <w:pStyle w:val="BlockText"/>
        <w:numPr>
          <w:ilvl w:val="0"/>
          <w:numId w:val="1001"/>
        </w:numPr>
      </w:pPr>
      <w:r>
        <w:t xml:space="preserve">Personen, die mit einer erkrankten Person im selben Haushalt</w:t>
      </w:r>
      <w:r>
        <w:t xml:space="preserve"> </w:t>
      </w:r>
      <w:r>
        <w:t xml:space="preserve">leben, unterliegen den Regelungen des Infektionsschutzgesetzes.</w:t>
      </w:r>
      <w:r>
        <w:t xml:space="preserve"> </w:t>
      </w:r>
      <w:r>
        <w:t xml:space="preserve">Sie dürfen Gemeinschaftseinrichtungen wie Schulen oder</w:t>
      </w:r>
      <w:r>
        <w:t xml:space="preserve"> </w:t>
      </w:r>
      <w:r>
        <w:t xml:space="preserve">Kindergärten vorübergehend nicht besuchen. Den genauen Zeitraum</w:t>
      </w:r>
      <w:r>
        <w:t xml:space="preserve"> </w:t>
      </w:r>
      <w:r>
        <w:t xml:space="preserve">des Verbots oder Ausnahmen bestimmt das zuständige Gesundheitsamt.</w:t>
      </w:r>
    </w:p>
    <w:bookmarkEnd w:id="25"/>
    <w:bookmarkStart w:id="26" w:name="wie-kann-ich-mich-schützen"/>
    <w:p>
      <w:pPr>
        <w:pStyle w:val="Heading2"/>
      </w:pPr>
      <w:r>
        <w:t xml:space="preserve">Wie kann ich mich schützen?</w:t>
      </w:r>
    </w:p>
    <w:p>
      <w:pPr>
        <w:pStyle w:val="BlockText"/>
        <w:numPr>
          <w:ilvl w:val="0"/>
          <w:numId w:val="1002"/>
        </w:numPr>
      </w:pPr>
      <w:r>
        <w:t xml:space="preserve">Für Typhus steht ein Impfstoff zur Verfügung, der auch teilweise</w:t>
      </w:r>
      <w:r>
        <w:t xml:space="preserve"> </w:t>
      </w:r>
      <w:r>
        <w:t xml:space="preserve">Schutz gegen Paratyphus bietet. Es gibt Impfstoffe zum Schlucken</w:t>
      </w:r>
      <w:r>
        <w:t xml:space="preserve"> </w:t>
      </w:r>
      <w:r>
        <w:t xml:space="preserve">und zur Injektion. Über die Notwendigkeit einer Impfung kann ein</w:t>
      </w:r>
      <w:r>
        <w:t xml:space="preserve"> </w:t>
      </w:r>
      <w:r>
        <w:t xml:space="preserve">Reisemediziner oder Reisemedizinerin aufklären.</w:t>
      </w:r>
    </w:p>
    <w:p>
      <w:pPr>
        <w:pStyle w:val="BlockText"/>
        <w:numPr>
          <w:ilvl w:val="0"/>
          <w:numId w:val="1002"/>
        </w:numPr>
      </w:pPr>
      <w:r>
        <w:t xml:space="preserve">Bei Reisen in Länder mit niedrigeren Hygienestandards sollte</w:t>
      </w:r>
      <w:r>
        <w:t xml:space="preserve"> </w:t>
      </w:r>
      <w:r>
        <w:t xml:space="preserve">darauf geachtet werden nur abgepacktes Wasser zu trinken. Speisen</w:t>
      </w:r>
      <w:r>
        <w:t xml:space="preserve"> </w:t>
      </w:r>
      <w:r>
        <w:t xml:space="preserve">sollten vollständig durcherhitzt werden. Rohes Obst und Gemüse</w:t>
      </w:r>
      <w:r>
        <w:t xml:space="preserve"> </w:t>
      </w:r>
      <w:r>
        <w:t xml:space="preserve">sollte nur hygienisch geschält zu sich genommen werden.</w:t>
      </w:r>
    </w:p>
    <w:bookmarkEnd w:id="26"/>
    <w:bookmarkStart w:id="29" w:name="wo-kann-ich-mich-informieren"/>
    <w:p>
      <w:pPr>
        <w:pStyle w:val="Heading2"/>
      </w:pPr>
      <w:r>
        <w:t xml:space="preserve">Wo kann ich mich informieren?</w:t>
      </w:r>
    </w:p>
    <w:p>
      <w:pPr>
        <w:pStyle w:val="FirstParagraph"/>
      </w:pPr>
      <w:r>
        <w:t xml:space="preserve">Das örtliche Gesundheitsamt steht Ihnen für weitere Beratung zur</w:t>
      </w:r>
      <w:r>
        <w:t xml:space="preserve"> </w:t>
      </w:r>
      <w:r>
        <w:t xml:space="preserve">Verfügung. Weitere (Fach-) Informationen finden Sie auch im Internet</w:t>
      </w:r>
      <w:r>
        <w:t xml:space="preserve"> </w:t>
      </w:r>
      <w:r>
        <w:t xml:space="preserve">auf den Seiten des Robert Koch Instituts</w:t>
      </w:r>
      <w:r>
        <w:t xml:space="preserve"> </w:t>
      </w:r>
      <w:r>
        <w:t xml:space="preserve">(</w:t>
      </w:r>
      <w:hyperlink r:id="rId27">
        <w:r>
          <w:rPr>
            <w:rStyle w:val="Hyperlink"/>
            <w:u w:val="single"/>
          </w:rPr>
          <w:t xml:space="preserve">www.rki.de/</w:t>
        </w:r>
      </w:hyperlink>
      <w:r>
        <w:t xml:space="preserve">)</w:t>
      </w:r>
      <w:r>
        <w:t xml:space="preserve"> </w:t>
      </w:r>
      <w:r>
        <w:t xml:space="preserve">Weitere Informationen zum Thema Infektionsschutz durch Hygiene finden</w:t>
      </w:r>
      <w:r>
        <w:t xml:space="preserve"> </w:t>
      </w:r>
      <w:r>
        <w:t xml:space="preserve">Sie auf den Seiten der Bundeszentrale für gesundheitliche Aufklärung</w:t>
      </w:r>
      <w:r>
        <w:t xml:space="preserve"> </w:t>
      </w:r>
      <w:r>
        <w:t xml:space="preserve">(</w:t>
      </w:r>
      <w:hyperlink r:id="rId28">
        <w:r>
          <w:rPr>
            <w:rStyle w:val="Hyperlink"/>
            <w:u w:val="single"/>
          </w:rPr>
          <w:t xml:space="preserve">www.infektionsschutz.de</w:t>
        </w:r>
      </w:hyperlink>
      <w:r>
        <w:t xml:space="preserve">).</w:t>
      </w:r>
      <w:r>
        <w:t xml:space="preserve"> </w:t>
      </w:r>
      <w:r>
        <w:t xml:space="preserve">Reisemedizinische Informationen für jedes Land werden auf der Seite des</w:t>
      </w:r>
      <w:r>
        <w:t xml:space="preserve"> </w:t>
      </w:r>
      <w:r>
        <w:t xml:space="preserve">Auswärtigen Amts veröffentlicht.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de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://www.infektionsschutz.de" TargetMode="External" /><Relationship Type="http://schemas.openxmlformats.org/officeDocument/2006/relationships/hyperlink" Id="rId27" Target="http://www.rki.d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://www.infektionsschutz.de" TargetMode="External" /><Relationship Type="http://schemas.openxmlformats.org/officeDocument/2006/relationships/hyperlink" Id="rId27" Target="http://www.rki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Typhus und Paratyphus</dc:title>
  <dc:creator/>
  <dc:description>Merkblatt zu Typhus und Paratyphus für Gesundheitsämter: Bakterielle Infektionen durch Salmonellen, Übertragung und Meldepflicht nach IfSG.</dc:description>
  <dc:language>DE</dc:language>
  <cp:keywords>Typhus, Paratyphus, Salmonella typhi, Salmonella paratyphi, Reiseinfektion, Meldepflicht</cp:keywords>
  <dcterms:created xsi:type="dcterms:W3CDTF">2025-10-08T18:38:50Z</dcterms:created>
  <dcterms:modified xsi:type="dcterms:W3CDTF">2025-10-08T18:38:50Z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comment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status">
    <vt:lpwstr>04 BZgA-Stil-überprüft</vt:lpwstr>
  </property>
  <property fmtid="{D5CDD505-2E9C-101B-9397-08002B2CF9AE}" pid="9" name="toc-title">
    <vt:lpwstr>Table of contents</vt:lpwstr>
  </property>
</Properties>
</file>